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spacing w:before="196" w:line="360" w:lineRule="auto"/>
        <w:ind w:right="0"/>
        <w:rPr>
          <w:rFonts w:ascii="Times New Roman" w:hAnsi="Times New Roman"/>
          <w:sz w:val="22"/>
        </w:rPr>
      </w:pPr>
      <w:r>
        <w:rPr>
          <w:sz w:val="20"/>
        </w:rPr>
        <w:t xml:space="preserve">                                                                                     </w:t>
      </w:r>
      <w:r>
        <w:rPr>
          <w:rFonts w:ascii="Times New Roman" w:hAnsi="Times New Roman"/>
          <w:sz w:val="22"/>
        </w:rPr>
        <w:t>Начальнику</w:t>
      </w:r>
    </w:p>
    <w:p w14:paraId="02000000">
      <w:pPr>
        <w:tabs>
          <w:tab w:leader="none" w:pos="6350" w:val="left"/>
        </w:tabs>
        <w:spacing w:before="0" w:line="360" w:lineRule="auto"/>
        <w:ind w:firstLine="0" w:left="0" w:right="0"/>
        <w:jc w:val="righ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___________________________________________________</w:t>
      </w:r>
    </w:p>
    <w:p w14:paraId="03000000">
      <w:pPr>
        <w:tabs>
          <w:tab w:leader="none" w:pos="6350" w:val="left"/>
        </w:tabs>
        <w:spacing w:before="0" w:line="360" w:lineRule="auto"/>
        <w:ind w:firstLine="0" w:left="0" w:right="0"/>
        <w:jc w:val="righ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___________________________________________________</w:t>
      </w:r>
    </w:p>
    <w:p w14:paraId="04000000">
      <w:pPr>
        <w:spacing w:before="0" w:line="360" w:lineRule="auto"/>
        <w:ind w:firstLine="3104" w:left="-568" w:right="0"/>
        <w:jc w:val="righ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___________________________________________________</w:t>
      </w:r>
    </w:p>
    <w:p w14:paraId="05000000">
      <w:pPr>
        <w:spacing w:before="0" w:line="360" w:lineRule="auto"/>
        <w:ind w:firstLine="3104" w:left="-568" w:right="0"/>
        <w:jc w:val="righ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від</w:t>
      </w:r>
      <w:r>
        <w:rPr>
          <w:rFonts w:ascii="Times New Roman" w:hAnsi="Times New Roman"/>
          <w:spacing w:val="30"/>
          <w:sz w:val="22"/>
        </w:rPr>
        <w:t xml:space="preserve"> </w:t>
      </w:r>
      <w:r>
        <w:rPr>
          <w:rFonts w:ascii="Times New Roman" w:hAnsi="Times New Roman"/>
          <w:sz w:val="22"/>
        </w:rPr>
        <w:t>_______________________________________________</w:t>
      </w:r>
    </w:p>
    <w:p w14:paraId="06000000">
      <w:pPr>
        <w:tabs>
          <w:tab w:leader="none" w:pos="6350" w:val="left"/>
        </w:tabs>
        <w:spacing w:before="0" w:line="360" w:lineRule="auto"/>
        <w:ind w:firstLine="0" w:left="0" w:right="0"/>
        <w:jc w:val="righ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___________________________________________________</w:t>
      </w:r>
    </w:p>
    <w:p w14:paraId="07000000">
      <w:pPr>
        <w:tabs>
          <w:tab w:leader="none" w:pos="8019" w:val="left"/>
        </w:tabs>
        <w:spacing w:before="0" w:line="360" w:lineRule="auto"/>
        <w:ind w:firstLine="0" w:left="1760" w:right="0"/>
        <w:jc w:val="right"/>
        <w:rPr>
          <w:rFonts w:ascii="Times New Roman" w:hAnsi="Times New Roman"/>
          <w:sz w:val="22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  <w:highlight w:val="white"/>
        </w:rPr>
        <w:t xml:space="preserve">                                    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  <w:highlight w:val="white"/>
        </w:rPr>
        <w:t xml:space="preserve">   РНОКПП (ІПН):    ___________________________________</w:t>
      </w:r>
    </w:p>
    <w:p w14:paraId="08000000">
      <w:pPr>
        <w:tabs>
          <w:tab w:leader="none" w:pos="8002" w:val="left"/>
        </w:tabs>
        <w:spacing w:before="139" w:line="360" w:lineRule="auto"/>
        <w:ind w:firstLine="0" w:left="1655" w:right="0"/>
        <w:jc w:val="right"/>
        <w:rPr>
          <w:rFonts w:ascii="Times New Roman" w:hAnsi="Times New Roman"/>
          <w:sz w:val="22"/>
        </w:rPr>
      </w:pPr>
      <w:r>
        <w:rPr>
          <w:rFonts w:ascii="Times New Roman" w:hAnsi="Times New Roman"/>
          <w:spacing w:val="-4"/>
          <w:sz w:val="22"/>
        </w:rPr>
        <w:t xml:space="preserve">Дата </w:t>
      </w:r>
      <w:r>
        <w:rPr>
          <w:rFonts w:ascii="Times New Roman" w:hAnsi="Times New Roman"/>
          <w:sz w:val="22"/>
        </w:rPr>
        <w:t>народження:</w:t>
      </w:r>
      <w:r>
        <w:rPr>
          <w:rFonts w:ascii="Times New Roman" w:hAnsi="Times New Roman"/>
          <w:spacing w:val="55"/>
          <w:sz w:val="22"/>
        </w:rPr>
        <w:t xml:space="preserve"> </w:t>
      </w:r>
      <w:r>
        <w:rPr>
          <w:rFonts w:ascii="Times New Roman" w:hAnsi="Times New Roman"/>
          <w:sz w:val="22"/>
        </w:rPr>
        <w:t>___________________________________</w:t>
      </w:r>
    </w:p>
    <w:p w14:paraId="09000000">
      <w:pPr>
        <w:spacing w:before="156" w:line="360" w:lineRule="auto"/>
        <w:ind w:firstLine="0" w:left="1658" w:right="0"/>
        <w:jc w:val="lef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                                               Адреса</w:t>
      </w:r>
      <w:r>
        <w:rPr>
          <w:rFonts w:ascii="Times New Roman" w:hAnsi="Times New Roman"/>
          <w:spacing w:val="9"/>
          <w:sz w:val="22"/>
        </w:rPr>
        <w:t xml:space="preserve"> </w:t>
      </w:r>
      <w:r>
        <w:rPr>
          <w:rFonts w:ascii="Times New Roman" w:hAnsi="Times New Roman"/>
          <w:spacing w:val="-2"/>
          <w:sz w:val="22"/>
        </w:rPr>
        <w:t>проживання/місцезнаходження:</w:t>
      </w:r>
    </w:p>
    <w:p w14:paraId="0A000000">
      <w:pPr>
        <w:spacing w:before="103" w:line="360" w:lineRule="auto"/>
        <w:ind w:right="0"/>
        <w:jc w:val="righ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___________________________________________________</w:t>
      </w:r>
    </w:p>
    <w:p w14:paraId="0B000000">
      <w:pPr>
        <w:spacing w:before="103" w:line="360" w:lineRule="auto"/>
        <w:ind w:right="0"/>
        <w:jc w:val="righ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___________________________________________________</w:t>
      </w:r>
    </w:p>
    <w:p w14:paraId="0C000000">
      <w:pPr>
        <w:spacing w:before="103" w:line="360" w:lineRule="auto"/>
        <w:ind w:right="0"/>
        <w:jc w:val="righ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Номер телефону:____________________________________</w:t>
      </w:r>
    </w:p>
    <w:p w14:paraId="0D000000">
      <w:pPr>
        <w:spacing w:before="103" w:line="360" w:lineRule="auto"/>
        <w:ind w:right="0"/>
        <w:jc w:val="righ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 </w:t>
      </w:r>
      <w:r>
        <w:rPr>
          <w:rFonts w:ascii="Times New Roman" w:hAnsi="Times New Roman"/>
          <w:sz w:val="22"/>
        </w:rPr>
        <w:t>Електронна</w:t>
      </w:r>
      <w:r>
        <w:rPr>
          <w:rFonts w:ascii="Times New Roman" w:hAnsi="Times New Roman"/>
          <w:spacing w:val="40"/>
          <w:sz w:val="22"/>
        </w:rPr>
        <w:t xml:space="preserve"> </w:t>
      </w:r>
      <w:r>
        <w:rPr>
          <w:rFonts w:ascii="Times New Roman" w:hAnsi="Times New Roman"/>
          <w:sz w:val="22"/>
        </w:rPr>
        <w:t>пошта: _________________________________</w:t>
      </w:r>
    </w:p>
    <w:p w14:paraId="0E000000">
      <w:pPr>
        <w:spacing w:before="103"/>
        <w:ind w:right="0"/>
        <w:jc w:val="right"/>
        <w:rPr>
          <w:sz w:val="20"/>
        </w:rPr>
      </w:pPr>
    </w:p>
    <w:p w14:paraId="0F000000">
      <w:pPr>
        <w:spacing w:after="240" w:before="480" w:line="276" w:lineRule="auto"/>
        <w:ind w:firstLine="0" w:left="0" w:right="0"/>
        <w:jc w:val="center"/>
        <w:rPr>
          <w:rFonts w:ascii="Neue&quot;" w:hAnsi="Neue&quot;"/>
          <w:b w:val="1"/>
          <w:caps w:val="0"/>
          <w:color w:val="F9FAFB"/>
          <w:spacing w:val="0"/>
          <w:sz w:val="24"/>
          <w:shd w:fill="151517" w:val="clear"/>
        </w:rPr>
      </w:pPr>
      <w:r>
        <w:rPr>
          <w:rFonts w:ascii="Times New Roman" w:hAnsi="Times New Roman"/>
          <w:b w:val="1"/>
          <w:caps w:val="0"/>
          <w:color w:val="000000"/>
          <w:spacing w:val="0"/>
          <w:sz w:val="24"/>
        </w:rPr>
        <w:t>КЛОПОТАННЯ ПРО ПРОВЕДЕННЯ ПЕРЕВІРКИ МАЙНОВОГО СТАНУ БОРЖНИКА</w:t>
      </w:r>
    </w:p>
    <w:p w14:paraId="10000000">
      <w:pPr>
        <w:spacing w:after="240" w:before="240" w:line="276" w:lineRule="auto"/>
        <w:ind w:firstLine="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 xml:space="preserve">       На виконанні у Вашому провадженні перебуває виконавче провадження № ____________________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, відкрите на підставі виконавчого документа ___________________________________________________ від ___ __________ 20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року.</w:t>
      </w:r>
    </w:p>
    <w:p w14:paraId="11000000">
      <w:pPr>
        <w:spacing w:after="240" w:before="240" w:line="276" w:lineRule="auto"/>
        <w:ind w:firstLine="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 xml:space="preserve">       Я, ___________________________________________________________________________________, є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стягувачем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у цьому виконавчому провадженні.</w:t>
      </w:r>
    </w:p>
    <w:p w14:paraId="12000000">
      <w:pPr>
        <w:spacing w:after="240" w:before="240" w:line="276" w:lineRule="auto"/>
        <w:ind w:firstLine="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 xml:space="preserve">      Повідомляю про наступне:</w:t>
      </w:r>
    </w:p>
    <w:p w14:paraId="13000000">
      <w:pPr>
        <w:spacing w:after="240" w:before="240" w:line="276" w:lineRule="auto"/>
        <w:ind w:firstLine="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 xml:space="preserve">   Відповідно до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частини 3 статті 48 Закону України «Про виконавче провадження»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, виконавець зобов'язаний провести перевірку майнового стану боржника у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10-денний строк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з дня відкриття виконавчого провадження. Надалі така перевірка проводиться:</w:t>
      </w:r>
    </w:p>
    <w:p w14:paraId="14000000">
      <w:pPr>
        <w:numPr>
          <w:ilvl w:val="0"/>
          <w:numId w:val="1"/>
        </w:numPr>
        <w:spacing w:after="0" w:before="0" w:line="276" w:lineRule="auto"/>
        <w:ind w:firstLine="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щодо виявлення рахунків боржника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– не рідше одного разу на два тижні;</w:t>
      </w:r>
    </w:p>
    <w:p w14:paraId="15000000">
      <w:pPr>
        <w:numPr>
          <w:ilvl w:val="0"/>
          <w:numId w:val="1"/>
        </w:numPr>
        <w:spacing w:after="0" w:before="0" w:line="276" w:lineRule="auto"/>
        <w:ind w:firstLine="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щодо виявлення нерухомого та рухомого майна боржника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– не рідше одного разу на три місяці.</w:t>
      </w:r>
    </w:p>
    <w:p w14:paraId="16000000">
      <w:pPr>
        <w:spacing w:after="240" w:before="240" w:line="276" w:lineRule="auto"/>
        <w:ind w:firstLine="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Мені відомо, що боржник має наступне майно та доходи:</w:t>
      </w:r>
    </w:p>
    <w:p w14:paraId="17000000">
      <w:pPr>
        <w:spacing w:after="240" w:before="240" w:line="276" w:lineRule="auto"/>
        <w:ind w:firstLine="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</w:pP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4"/>
        </w:rPr>
        <w:t>__________________________________________________________________________________</w:t>
      </w: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4"/>
        </w:rPr>
        <w:t xml:space="preserve">____________________________________________________________________________________________________________________________________________________________________ 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 xml:space="preserve">     </w:t>
      </w:r>
    </w:p>
    <w:p w14:paraId="18000000">
      <w:pPr>
        <w:spacing w:after="240" w:before="240" w:line="276" w:lineRule="auto"/>
        <w:ind w:firstLine="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 xml:space="preserve">       Відповідно до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статті 48 Закону України «Про виконавче провадження»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:</w:t>
      </w:r>
    </w:p>
    <w:p w14:paraId="19000000">
      <w:pPr>
        <w:numPr>
          <w:ilvl w:val="0"/>
          <w:numId w:val="2"/>
        </w:numPr>
        <w:spacing w:after="0" w:before="0" w:line="276" w:lineRule="auto"/>
        <w:ind w:firstLine="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Стягнення на майно боржника звертається в розмірі та обсязі, необхідному для виконання вимог за виконавчим документом, з урахуванням виконавчого збору, витрат виконавчого провадження, штрафів та основної винагороди приватного виконавця (частина 2 статті 48).</w:t>
      </w:r>
    </w:p>
    <w:p w14:paraId="1A000000">
      <w:pPr>
        <w:numPr>
          <w:ilvl w:val="0"/>
          <w:numId w:val="2"/>
        </w:numPr>
        <w:spacing w:after="0" w:before="0" w:line="276" w:lineRule="auto"/>
        <w:ind w:firstLine="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Виконавець зобов'язаний провести перевірку майнового стану боржника у 10-денний строк з дня відкриття виконавчого провадження (частина 3 статті 48).</w:t>
      </w:r>
    </w:p>
    <w:p w14:paraId="1B000000">
      <w:pPr>
        <w:numPr>
          <w:ilvl w:val="0"/>
          <w:numId w:val="2"/>
        </w:numPr>
        <w:spacing w:after="0" w:before="0" w:line="276" w:lineRule="auto"/>
        <w:ind w:firstLine="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Надалі перевірка проводиться не рідше одного разу на два тижні – щодо виявлення рахунків, і не рідше одного разу на три місяці – щодо виявлення нерухомого та рухомого майна (частина 3 статті 48).</w:t>
      </w:r>
    </w:p>
    <w:p w14:paraId="1C000000">
      <w:pPr>
        <w:numPr>
          <w:ilvl w:val="0"/>
          <w:numId w:val="2"/>
        </w:numPr>
        <w:spacing w:after="0" w:before="0" w:line="276" w:lineRule="auto"/>
        <w:ind w:firstLine="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Якщо боржник умисно відкриває нові рахунки після накладення арешту, виконавець має право надіслати матеріали до правоохоронних органів для притягнення винних осіб до кримінальної відповідальності (частина 4 статті 48).</w:t>
      </w:r>
    </w:p>
    <w:p w14:paraId="1D000000">
      <w:pPr>
        <w:spacing w:after="240" w:before="240" w:line="276" w:lineRule="auto"/>
        <w:ind w:firstLine="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</w:pP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2"/>
        </w:rPr>
        <w:t xml:space="preserve">    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На підставі викладеного, керуючись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статтею 48 Закону України «Про виконавче провадження»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,</w:t>
      </w:r>
    </w:p>
    <w:p w14:paraId="1E000000">
      <w:pPr>
        <w:spacing w:after="240" w:before="240" w:line="360" w:lineRule="auto"/>
        <w:ind w:firstLine="0" w:left="0" w:right="0"/>
        <w:jc w:val="center"/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</w:pP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4"/>
        </w:rPr>
        <w:t>ПРОШУ:</w:t>
      </w:r>
    </w:p>
    <w:p w14:paraId="1F000000">
      <w:pPr>
        <w:numPr>
          <w:numId w:val="3"/>
        </w:numPr>
        <w:spacing w:after="0" w:before="0" w:line="276" w:lineRule="auto"/>
        <w:ind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Провести перевірку майнового стану боржника _____________________________________________ у 10-денний строк з дня отримання цього клопотання (або з дня відкриття виконавчого провадження, якщо строк ще не сплив).</w:t>
      </w:r>
    </w:p>
    <w:p w14:paraId="20000000">
      <w:pPr>
        <w:spacing w:after="120" w:before="0" w:line="276" w:lineRule="auto"/>
        <w:ind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У межах перевірки:</w:t>
      </w:r>
    </w:p>
    <w:p w14:paraId="21000000">
      <w:pPr>
        <w:numPr>
          <w:numId w:val="3"/>
        </w:numPr>
        <w:spacing w:after="120" w:before="0" w:line="276" w:lineRule="auto"/>
        <w:ind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Надіслати запити до банківських установ щодо наявності рахунків боржника (в тому числі до небанківських надавачів платіжних послуг та емітентів електронних грошей).</w:t>
      </w:r>
    </w:p>
    <w:p w14:paraId="22000000">
      <w:pPr>
        <w:numPr>
          <w:numId w:val="3"/>
        </w:numPr>
        <w:spacing w:after="0" w:before="0" w:line="276" w:lineRule="auto"/>
        <w:ind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Надіслати запити до Державного реєстру речових прав на нерухоме майно, Реєстру транспортних засобів, Реєстру обтяжень рухомого майна.</w:t>
      </w:r>
    </w:p>
    <w:p w14:paraId="23000000">
      <w:pPr>
        <w:numPr>
          <w:numId w:val="3"/>
        </w:numPr>
        <w:spacing w:after="0" w:before="0" w:line="276" w:lineRule="auto"/>
        <w:ind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Надіслати запити до податкової служби про доходи боржника та місце роботи.</w:t>
      </w:r>
    </w:p>
    <w:p w14:paraId="24000000">
      <w:pPr>
        <w:numPr>
          <w:numId w:val="3"/>
        </w:numPr>
        <w:spacing w:after="0" w:before="0" w:line="276" w:lineRule="auto"/>
        <w:ind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Надіслати запити до Пенсійного фонду (якщо боржник отримує пенсію).</w:t>
      </w:r>
    </w:p>
    <w:p w14:paraId="25000000">
      <w:pPr>
        <w:numPr>
          <w:numId w:val="3"/>
        </w:numPr>
        <w:spacing w:after="0" w:before="0" w:line="276" w:lineRule="auto"/>
        <w:ind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Провести перевірку за місцем проживання / місцезнаходженням боржника (якщо це необхідно).</w:t>
      </w:r>
    </w:p>
    <w:p w14:paraId="26000000">
      <w:pPr>
        <w:numPr>
          <w:numId w:val="3"/>
        </w:numPr>
        <w:spacing w:after="120" w:before="0" w:line="276" w:lineRule="auto"/>
        <w:ind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У разі виявлення майна або коштів боржника:</w:t>
      </w:r>
    </w:p>
    <w:p w14:paraId="27000000">
      <w:pPr>
        <w:numPr>
          <w:numId w:val="3"/>
        </w:numPr>
        <w:spacing w:after="0" w:before="0" w:line="276" w:lineRule="auto"/>
        <w:ind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Накласти арешт на виявлене майно / кошти не пізніше наступного робочого дня після виявлення (частина 2 статті 56 ЗУ).</w:t>
      </w:r>
    </w:p>
    <w:p w14:paraId="28000000">
      <w:pPr>
        <w:numPr>
          <w:numId w:val="3"/>
        </w:numPr>
        <w:spacing w:after="0" w:before="0" w:line="276" w:lineRule="auto"/>
        <w:ind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Провести опис та арешт майна не пізніше п'ятого робочого дня з дня отримання інформації про його місцезнаходження (частина 2 статті 13 ЗУ).</w:t>
      </w:r>
    </w:p>
    <w:p w14:paraId="29000000">
      <w:pPr>
        <w:numPr>
          <w:numId w:val="3"/>
        </w:numPr>
        <w:spacing w:after="0" w:before="0" w:line="360" w:lineRule="auto"/>
        <w:ind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Про результати перевірки майнового стану боржника повідомити мене письмово.</w:t>
      </w:r>
    </w:p>
    <w:p w14:paraId="2A000000">
      <w:pPr>
        <w:spacing w:after="240" w:before="240" w:line="360" w:lineRule="auto"/>
        <w:ind w:firstLine="0" w:left="0" w:right="0"/>
        <w:jc w:val="left"/>
        <w:rPr>
          <w:rFonts w:ascii="Times New Roman" w:hAnsi="Times New Roman"/>
          <w:b w:val="1"/>
          <w:i w:val="0"/>
          <w:caps w:val="0"/>
          <w:color w:val="000000"/>
          <w:spacing w:val="0"/>
          <w:sz w:val="22"/>
        </w:rPr>
      </w:pP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2"/>
        </w:rPr>
        <w:t>Додатки:</w:t>
      </w:r>
    </w:p>
    <w:p w14:paraId="2B000000">
      <w:pPr>
        <w:spacing w:after="240" w:before="240" w:line="360" w:lineRule="auto"/>
        <w:ind w:firstLine="0" w:left="0" w:right="0"/>
        <w:jc w:val="left"/>
        <w:rPr>
          <w:rFonts w:ascii="Times New Roman" w:hAnsi="Times New Roman"/>
          <w:b w:val="1"/>
          <w:i w:val="0"/>
          <w:caps w:val="0"/>
          <w:color w:val="000000"/>
          <w:spacing w:val="0"/>
          <w:sz w:val="24"/>
        </w:rPr>
      </w:pP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4"/>
        </w:rPr>
        <w:t>__________________________________________________________________________________</w:t>
      </w: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4"/>
        </w:rPr>
        <w:t>__________________________________________________________________________________</w:t>
      </w: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4"/>
        </w:rPr>
        <w:t>__________________________________________________________________________________</w:t>
      </w:r>
    </w:p>
    <w:p w14:paraId="2C000000">
      <w:pPr>
        <w:spacing w:after="240" w:before="240"/>
        <w:ind w:firstLine="0" w:left="0" w:right="0"/>
        <w:jc w:val="right"/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</w:pPr>
    </w:p>
    <w:p w14:paraId="2D000000">
      <w:pPr>
        <w:spacing w:after="240" w:before="240"/>
        <w:ind w:firstLine="0" w:left="0" w:right="0"/>
        <w:jc w:val="right"/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Дата: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«____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» ____________ 20___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р.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Підпис: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________________________</w:t>
      </w:r>
    </w:p>
    <w:sectPr>
      <w:pgSz w:h="16838" w:orient="portrait" w:w="11906"/>
      <w:pgMar w:bottom="1134" w:left="1304" w:right="737" w:top="1134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numFmt w:val="bullet"/>
      <w:lvlText w:val=""/>
      <w:pPr>
        <w:ind w:hanging="360" w:left="720"/>
      </w:pPr>
      <w:rPr>
        <w:rFonts w:ascii="Symbol" w:hAnsi="Symbol"/>
      </w:rPr>
    </w:lvl>
    <w:lvl w:ilvl="1">
      <w:numFmt w:val="bullet"/>
      <w:lvlText w:val="o"/>
      <w:pPr>
        <w:ind w:hanging="360" w:left="1440"/>
      </w:pPr>
      <w:rPr>
        <w:rFonts w:ascii="Courier New" w:hAnsi="Courier New"/>
      </w:rPr>
    </w:lvl>
    <w:lvl w:ilvl="2">
      <w:numFmt w:val="bullet"/>
      <w:lvlText w:val=""/>
      <w:pPr>
        <w:ind w:hanging="360" w:left="2160"/>
      </w:pPr>
      <w:rPr>
        <w:rFonts w:ascii="Wingdings" w:hAnsi="Wingdings"/>
      </w:rPr>
    </w:lvl>
    <w:lvl w:ilvl="3">
      <w:numFmt w:val="bullet"/>
      <w:lvlText w:val=""/>
      <w:pPr>
        <w:ind w:hanging="360" w:left="2880"/>
      </w:pPr>
      <w:rPr>
        <w:rFonts w:ascii="Symbol" w:hAnsi="Symbol"/>
      </w:rPr>
    </w:lvl>
    <w:lvl w:ilvl="4">
      <w:numFmt w:val="bullet"/>
      <w:lvlText w:val="o"/>
      <w:pPr>
        <w:ind w:hanging="360" w:left="3600"/>
      </w:pPr>
      <w:rPr>
        <w:rFonts w:ascii="Courier New" w:hAnsi="Courier New"/>
      </w:rPr>
    </w:lvl>
    <w:lvl w:ilvl="5">
      <w:numFmt w:val="bullet"/>
      <w:lvlText w:val=""/>
      <w:pPr>
        <w:ind w:hanging="360" w:left="4320"/>
      </w:pPr>
      <w:rPr>
        <w:rFonts w:ascii="Wingdings" w:hAnsi="Wingdings"/>
      </w:rPr>
    </w:lvl>
    <w:lvl w:ilvl="6">
      <w:numFmt w:val="bullet"/>
      <w:lvlText w:val=""/>
      <w:pPr>
        <w:ind w:hanging="360" w:left="5040"/>
      </w:pPr>
      <w:rPr>
        <w:rFonts w:ascii="Symbol" w:hAnsi="Symbol"/>
      </w:rPr>
    </w:lvl>
    <w:lvl w:ilvl="7">
      <w:numFmt w:val="bullet"/>
      <w:lvlText w:val="o"/>
      <w:pPr>
        <w:ind w:hanging="360" w:left="5760"/>
      </w:pPr>
      <w:rPr>
        <w:rFonts w:ascii="Courier New" w:hAnsi="Courier New"/>
      </w:rPr>
    </w:lvl>
    <w:lvl w:ilvl="8">
      <w:numFmt w:val="bullet"/>
      <w:lvlText w:val=""/>
      <w:pPr>
        <w:ind w:hanging="360" w:left="6480"/>
      </w:pPr>
      <w:rPr>
        <w:rFonts w:ascii="Wingdings" w:hAnsi="Wingdings"/>
      </w:rPr>
    </w:lvl>
  </w:abstractNum>
  <w:abstractNum w:abstractNumId="1">
    <w:lvl w:ilvl="0">
      <w:numFmt w:val="bullet"/>
      <w:lvlText w:val=""/>
      <w:pPr>
        <w:ind w:hanging="360" w:left="720"/>
      </w:pPr>
      <w:rPr>
        <w:rFonts w:ascii="Symbol" w:hAnsi="Symbol"/>
      </w:rPr>
    </w:lvl>
    <w:lvl w:ilvl="1">
      <w:numFmt w:val="bullet"/>
      <w:lvlText w:val="o"/>
      <w:pPr>
        <w:ind w:hanging="360" w:left="1440"/>
      </w:pPr>
      <w:rPr>
        <w:rFonts w:ascii="Courier New" w:hAnsi="Courier New"/>
      </w:rPr>
    </w:lvl>
    <w:lvl w:ilvl="2">
      <w:numFmt w:val="bullet"/>
      <w:lvlText w:val=""/>
      <w:pPr>
        <w:ind w:hanging="360" w:left="2160"/>
      </w:pPr>
      <w:rPr>
        <w:rFonts w:ascii="Wingdings" w:hAnsi="Wingdings"/>
      </w:rPr>
    </w:lvl>
    <w:lvl w:ilvl="3">
      <w:numFmt w:val="bullet"/>
      <w:lvlText w:val=""/>
      <w:pPr>
        <w:ind w:hanging="360" w:left="2880"/>
      </w:pPr>
      <w:rPr>
        <w:rFonts w:ascii="Symbol" w:hAnsi="Symbol"/>
      </w:rPr>
    </w:lvl>
    <w:lvl w:ilvl="4">
      <w:numFmt w:val="bullet"/>
      <w:lvlText w:val="o"/>
      <w:pPr>
        <w:ind w:hanging="360" w:left="3600"/>
      </w:pPr>
      <w:rPr>
        <w:rFonts w:ascii="Courier New" w:hAnsi="Courier New"/>
      </w:rPr>
    </w:lvl>
    <w:lvl w:ilvl="5">
      <w:numFmt w:val="bullet"/>
      <w:lvlText w:val=""/>
      <w:pPr>
        <w:ind w:hanging="360" w:left="4320"/>
      </w:pPr>
      <w:rPr>
        <w:rFonts w:ascii="Wingdings" w:hAnsi="Wingdings"/>
      </w:rPr>
    </w:lvl>
    <w:lvl w:ilvl="6">
      <w:numFmt w:val="bullet"/>
      <w:lvlText w:val=""/>
      <w:pPr>
        <w:ind w:hanging="360" w:left="5040"/>
      </w:pPr>
      <w:rPr>
        <w:rFonts w:ascii="Symbol" w:hAnsi="Symbol"/>
      </w:rPr>
    </w:lvl>
    <w:lvl w:ilvl="7">
      <w:numFmt w:val="bullet"/>
      <w:lvlText w:val="o"/>
      <w:pPr>
        <w:ind w:hanging="360" w:left="5760"/>
      </w:pPr>
      <w:rPr>
        <w:rFonts w:ascii="Courier New" w:hAnsi="Courier New"/>
      </w:rPr>
    </w:lvl>
    <w:lvl w:ilvl="8">
      <w:numFmt w:val="bullet"/>
      <w:lvlText w:val=""/>
      <w:pPr>
        <w:ind w:hanging="360" w:left="6480"/>
      </w:pPr>
      <w:rPr>
        <w:rFonts w:ascii="Wingdings" w:hAnsi="Wingdings"/>
      </w:rPr>
    </w:lvl>
  </w:abstractNum>
  <w:abstractNum w:abstractNumId="2">
    <w:lvl w:ilvl="0">
      <w:start w:val="1"/>
      <w:numFmt w:val="decimal"/>
      <w:lvlText w:val="%1."/>
      <w:pPr>
        <w:ind w:hanging="360" w:left="360"/>
      </w:pPr>
    </w:lvl>
    <w:lvl w:ilvl="1">
      <w:start w:val="1"/>
      <w:numFmt w:val="decimal"/>
      <w:lvlText w:val="%1.%2."/>
      <w:pPr>
        <w:ind w:hanging="430" w:left="790"/>
      </w:pPr>
    </w:lvl>
    <w:lvl w:ilvl="2">
      <w:start w:val="1"/>
      <w:numFmt w:val="decimal"/>
      <w:lvlText w:val="%1.%2.%3."/>
      <w:pPr>
        <w:ind w:hanging="505" w:left="1225"/>
      </w:pPr>
    </w:lvl>
    <w:lvl w:ilvl="3">
      <w:start w:val="1"/>
      <w:numFmt w:val="decimal"/>
      <w:lvlText w:val="%1.%2.%3.%4."/>
      <w:pPr>
        <w:ind w:hanging="650" w:left="1730"/>
      </w:pPr>
    </w:lvl>
    <w:lvl w:ilvl="4">
      <w:start w:val="1"/>
      <w:numFmt w:val="decimal"/>
      <w:lvlText w:val="%1.%2.%3.%4.%5."/>
      <w:pPr>
        <w:ind w:hanging="790" w:left="2230"/>
      </w:pPr>
    </w:lvl>
    <w:lvl w:ilvl="5">
      <w:start w:val="1"/>
      <w:numFmt w:val="decimal"/>
      <w:lvlText w:val="%1.%2.%3.%4.%5.%6."/>
      <w:pPr>
        <w:ind w:hanging="935" w:left="2735"/>
      </w:pPr>
    </w:lvl>
    <w:lvl w:ilvl="6">
      <w:start w:val="1"/>
      <w:numFmt w:val="decimal"/>
      <w:lvlText w:val="%1.%2.%3.%4.%5.%6.%7."/>
      <w:pPr>
        <w:ind w:hanging="1080" w:left="3240"/>
      </w:pPr>
    </w:lvl>
    <w:lvl w:ilvl="7">
      <w:start w:val="1"/>
      <w:numFmt w:val="decimal"/>
      <w:lvlText w:val="%1.%2.%3.%4.%5.%6.%7.%8."/>
      <w:pPr>
        <w:ind w:hanging="1225" w:left="3745"/>
      </w:pPr>
    </w:lvl>
    <w:lvl w:ilvl="8">
      <w:start w:val="1"/>
      <w:numFmt w:val="decimal"/>
      <w:lvlText w:val="%1.%2.%3.%4.%5.%6.%7.%8.%9."/>
      <w:pPr>
        <w:ind w:hanging="1440" w:left="432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spacing w:line="240" w:lineRule="auto"/>
      <w:ind/>
      <w:jc w:val="both"/>
    </w:pPr>
    <w:rPr>
      <w:rFonts w:ascii="XO Thames" w:hAnsi="XO Thames"/>
      <w:sz w:val="28"/>
    </w:rPr>
  </w:style>
  <w:style w:default="1" w:styleId="Style_1_ch" w:type="character">
    <w:name w:val="Normal"/>
    <w:link w:val="Style_1"/>
    <w:rPr>
      <w:rFonts w:ascii="XO Thames" w:hAnsi="XO Thames"/>
      <w:sz w:val="28"/>
    </w:rPr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Endnote"/>
    <w:link w:val="Style_6_ch"/>
    <w:pPr>
      <w:ind w:firstLine="851" w:left="0"/>
      <w:jc w:val="both"/>
    </w:pPr>
    <w:rPr>
      <w:rFonts w:ascii="XO Thames" w:hAnsi="XO Thames"/>
      <w:sz w:val="22"/>
    </w:rPr>
  </w:style>
  <w:style w:styleId="Style_6_ch" w:type="character">
    <w:name w:val="Endnote"/>
    <w:link w:val="Style_6"/>
    <w:rPr>
      <w:rFonts w:ascii="XO Thames" w:hAnsi="XO Thames"/>
      <w:sz w:val="22"/>
    </w:rPr>
  </w:style>
  <w:style w:styleId="Style_7" w:type="paragraph">
    <w:name w:val="heading 3"/>
    <w:next w:val="Style_1"/>
    <w:link w:val="Style_7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toc 3"/>
    <w:next w:val="Style_1"/>
    <w:link w:val="Style_8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8_ch" w:type="character">
    <w:name w:val="toc 3"/>
    <w:link w:val="Style_8"/>
    <w:rPr>
      <w:rFonts w:ascii="XO Thames" w:hAnsi="XO Thames"/>
      <w:sz w:val="28"/>
    </w:rPr>
  </w:style>
  <w:style w:styleId="Style_9" w:type="paragraph">
    <w:name w:val="heading 5"/>
    <w:next w:val="Style_1"/>
    <w:link w:val="Style_9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9_ch" w:type="character">
    <w:name w:val="heading 5"/>
    <w:link w:val="Style_9"/>
    <w:rPr>
      <w:rFonts w:ascii="XO Thames" w:hAnsi="XO Thames"/>
      <w:b w:val="1"/>
      <w:sz w:val="22"/>
    </w:rPr>
  </w:style>
  <w:style w:styleId="Style_10" w:type="paragraph">
    <w:name w:val="heading 1"/>
    <w:next w:val="Style_1"/>
    <w:link w:val="Style_10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0_ch" w:type="character">
    <w:name w:val="heading 1"/>
    <w:link w:val="Style_10"/>
    <w:rPr>
      <w:rFonts w:ascii="XO Thames" w:hAnsi="XO Thames"/>
      <w:b w:val="1"/>
      <w:sz w:val="32"/>
    </w:rPr>
  </w:style>
  <w:style w:styleId="Style_11" w:type="paragraph">
    <w:name w:val="Hyperlink"/>
    <w:link w:val="Style_11_ch"/>
    <w:rPr>
      <w:color w:val="0000FF"/>
      <w:u w:val="single"/>
    </w:rPr>
  </w:style>
  <w:style w:styleId="Style_11_ch" w:type="character">
    <w:name w:val="Hyperlink"/>
    <w:link w:val="Style_11"/>
    <w:rPr>
      <w:color w:val="0000FF"/>
      <w:u w:val="single"/>
    </w:rPr>
  </w:style>
  <w:style w:styleId="Style_12" w:type="paragraph">
    <w:name w:val="Footnote"/>
    <w:link w:val="Style_12_ch"/>
    <w:pPr>
      <w:ind w:firstLine="851" w:left="0"/>
      <w:jc w:val="both"/>
    </w:pPr>
    <w:rPr>
      <w:rFonts w:ascii="XO Thames" w:hAnsi="XO Thames"/>
      <w:sz w:val="22"/>
    </w:rPr>
  </w:style>
  <w:style w:styleId="Style_12_ch" w:type="character">
    <w:name w:val="Footnote"/>
    <w:link w:val="Style_12"/>
    <w:rPr>
      <w:rFonts w:ascii="XO Thames" w:hAnsi="XO Thames"/>
      <w:sz w:val="22"/>
    </w:rPr>
  </w:style>
  <w:style w:styleId="Style_13" w:type="paragraph">
    <w:name w:val="toc 1"/>
    <w:next w:val="Style_1"/>
    <w:link w:val="Style_13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3_ch" w:type="character">
    <w:name w:val="toc 1"/>
    <w:link w:val="Style_13"/>
    <w:rPr>
      <w:rFonts w:ascii="XO Thames" w:hAnsi="XO Thames"/>
      <w:b w:val="1"/>
      <w:sz w:val="28"/>
    </w:rPr>
  </w:style>
  <w:style w:styleId="Style_14" w:type="paragraph">
    <w:name w:val="Header and Footer"/>
    <w:link w:val="Style_14_ch"/>
    <w:pPr>
      <w:spacing w:line="240" w:lineRule="auto"/>
      <w:ind/>
      <w:jc w:val="both"/>
    </w:pPr>
    <w:rPr>
      <w:rFonts w:ascii="XO Thames" w:hAnsi="XO Thames"/>
      <w:sz w:val="28"/>
    </w:rPr>
  </w:style>
  <w:style w:styleId="Style_14_ch" w:type="character">
    <w:name w:val="Header and Footer"/>
    <w:link w:val="Style_14"/>
    <w:rPr>
      <w:rFonts w:ascii="XO Thames" w:hAnsi="XO Thames"/>
      <w:sz w:val="28"/>
    </w:rPr>
  </w:style>
  <w:style w:styleId="Style_15" w:type="paragraph">
    <w:name w:val="toc 9"/>
    <w:next w:val="Style_1"/>
    <w:link w:val="Style_15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5_ch" w:type="character">
    <w:name w:val="toc 9"/>
    <w:link w:val="Style_15"/>
    <w:rPr>
      <w:rFonts w:ascii="XO Thames" w:hAnsi="XO Thames"/>
      <w:sz w:val="28"/>
    </w:rPr>
  </w:style>
  <w:style w:styleId="Style_16" w:type="paragraph">
    <w:name w:val="toc 8"/>
    <w:next w:val="Style_1"/>
    <w:link w:val="Style_16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6_ch" w:type="character">
    <w:name w:val="toc 8"/>
    <w:link w:val="Style_16"/>
    <w:rPr>
      <w:rFonts w:ascii="XO Thames" w:hAnsi="XO Thames"/>
      <w:sz w:val="28"/>
    </w:rPr>
  </w:style>
  <w:style w:styleId="Style_17" w:type="paragraph">
    <w:name w:val="toc 5"/>
    <w:next w:val="Style_1"/>
    <w:link w:val="Style_17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7_ch" w:type="character">
    <w:name w:val="toc 5"/>
    <w:link w:val="Style_17"/>
    <w:rPr>
      <w:rFonts w:ascii="XO Thames" w:hAnsi="XO Thames"/>
      <w:sz w:val="28"/>
    </w:rPr>
  </w:style>
  <w:style w:styleId="Style_18" w:type="paragraph">
    <w:name w:val="Subtitle"/>
    <w:next w:val="Style_1"/>
    <w:link w:val="Style_18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8_ch" w:type="character">
    <w:name w:val="Subtitle"/>
    <w:link w:val="Style_18"/>
    <w:rPr>
      <w:rFonts w:ascii="XO Thames" w:hAnsi="XO Thames"/>
      <w:i w:val="1"/>
      <w:sz w:val="24"/>
    </w:rPr>
  </w:style>
  <w:style w:styleId="Style_19" w:type="paragraph">
    <w:name w:val="Title"/>
    <w:next w:val="Style_1"/>
    <w:link w:val="Style_19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19_ch" w:type="character">
    <w:name w:val="Title"/>
    <w:link w:val="Style_19"/>
    <w:rPr>
      <w:rFonts w:ascii="XO Thames" w:hAnsi="XO Thames"/>
      <w:b w:val="1"/>
      <w:caps w:val="1"/>
      <w:sz w:val="40"/>
    </w:rPr>
  </w:style>
  <w:style w:styleId="Style_20" w:type="paragraph">
    <w:name w:val="heading 4"/>
    <w:next w:val="Style_1"/>
    <w:link w:val="Style_20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0_ch" w:type="character">
    <w:name w:val="heading 4"/>
    <w:link w:val="Style_20"/>
    <w:rPr>
      <w:rFonts w:ascii="XO Thames" w:hAnsi="XO Thames"/>
      <w:b w:val="1"/>
      <w:sz w:val="24"/>
    </w:rPr>
  </w:style>
  <w:style w:styleId="Style_21" w:type="paragraph">
    <w:name w:val="heading 2"/>
    <w:next w:val="Style_1"/>
    <w:link w:val="Style_21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1_ch" w:type="character">
    <w:name w:val="heading 2"/>
    <w:link w:val="Style_21"/>
    <w:rPr>
      <w:rFonts w:ascii="XO Thames" w:hAnsi="XO Thames"/>
      <w:b w:val="1"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7" Target="numbering.xml" Type="http://schemas.openxmlformats.org/officeDocument/2006/relationships/numbering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  <a:prstDash val="solid"/>
        </a:ln>
        <a:ln>
          <a:solidFill>
            <a:schemeClr val="phClr"/>
          </a:solidFill>
          <a:prstDash val="solid"/>
        </a:ln>
        <a:ln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MyOffice-CoreFramework-Windows/31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2026-07-22T08:59:36Z</dcterms:modified>
</cp:coreProperties>
</file>