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jc w:val="left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</w:t>
      </w:r>
      <w:r>
        <w:rPr>
          <w:sz w:val="20"/>
        </w:rPr>
        <w:t xml:space="preserve">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96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F000000">
      <w:pPr>
        <w:spacing w:after="240" w:before="24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КЛОПОТАННЯ ПРО РОЗШУК БОРЖНИКА АБО ЙОГО МАЙНА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     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Повідомляю про наступне: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Боржник __________________________________________________________________________ має заборгованість переді мною на суму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 грн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що підтверджується виконавчим документом _______________________________________________.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Станом на ___ _____________ 20__ року виконавче провадження не виконується з причин, які потребують вжиття заходів розшуку, а саме: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___________________________________________________________________________________________________________________________________________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_________________________________________________________   </w:t>
      </w:r>
    </w:p>
    <w:p w14:paraId="16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36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:</w:t>
      </w:r>
    </w:p>
    <w:p w14:paraId="17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разі відсутності відомостей про місце проживання, перебування боржника – фізичної особи, а також дитини за виконавчими документами про відібрання дитини, виконавець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зобов'язаний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звернутися до суду з поданням про винесення ухвали про розшук боржника або дитини (частина 1 статті 36 ЗУ)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8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Розшук боржника – юридичної особи, майна боржника організовує виконавець шляхом подання запитів до відповідних органів, установ або проведення перевірки інформації про майно чи доходи боржника, що міститься в базах даних і реєстрах, та перевірки майнового стану боржника за місцем проживання (перебування) або його місцезнаходженням (частина 2 статті 36 ЗУ)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9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разі необхідності розшуку транспортного засобу боржника виконавець виносить постанову про такий розшук, яка є обов'язковою для виконання поліцією (частина 3 статті 36 ЗУ)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A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quote-cjk-patch" w:hAnsi="quote-cjk-patch"/>
          <w:b w:val="0"/>
          <w:i w:val="0"/>
          <w:caps w:val="0"/>
          <w:color w:val="F9FAFB"/>
          <w:spacing w:val="0"/>
          <w:sz w:val="24"/>
          <w:shd w:fill="151517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Витрати, пов'язані з розшуком боржника, майна боржника та його зберіганням, стягуються з боржника (частина 4 статті 36 ЗУ)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B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C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36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D000000">
      <w:pPr>
        <w:spacing w:after="240" w:before="24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E000000"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1F000000">
      <w:p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результати розшуку повідомити мене письмово.</w:t>
      </w:r>
    </w:p>
    <w:p w14:paraId="20000000">
      <w:p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1000000">
      <w:p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2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23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4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2026-07-22T09:27:55Z</dcterms:modified>
</cp:coreProperties>
</file>